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F551" w14:textId="77777777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</w:p>
    <w:p w14:paraId="1CB69D54" w14:textId="77777777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</w:p>
    <w:p w14:paraId="79BCB27C" w14:textId="1AD5F221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ABSTRACT INFORMATION AND APPLICATION </w:t>
      </w:r>
      <w:r w:rsidRPr="00756FF4">
        <w:rPr>
          <w:b/>
          <w:bCs/>
          <w:color w:val="000000"/>
          <w:lang w:val="en-US"/>
        </w:rPr>
        <w:t>FORM</w:t>
      </w:r>
    </w:p>
    <w:p w14:paraId="571844CB" w14:textId="77777777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</w:p>
    <w:p w14:paraId="5914026D" w14:textId="77777777" w:rsidR="00106580" w:rsidRDefault="00106580" w:rsidP="00106580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2022 </w:t>
      </w:r>
      <w:r w:rsidRPr="00C66089">
        <w:rPr>
          <w:b/>
          <w:bCs/>
          <w:color w:val="000000"/>
          <w:lang w:eastAsia="en-US"/>
        </w:rPr>
        <w:t>World Eye Bank Symposium</w:t>
      </w:r>
    </w:p>
    <w:p w14:paraId="2125B139" w14:textId="1203C2EE" w:rsidR="00F13404" w:rsidRPr="00C66089" w:rsidRDefault="00F13404" w:rsidP="00F13404">
      <w:pPr>
        <w:autoSpaceDE w:val="0"/>
        <w:autoSpaceDN w:val="0"/>
        <w:adjustRightInd w:val="0"/>
        <w:rPr>
          <w:color w:val="000000"/>
          <w:lang w:eastAsia="en-US"/>
        </w:rPr>
      </w:pPr>
      <w:r w:rsidRPr="00C66089">
        <w:rPr>
          <w:b/>
          <w:bCs/>
          <w:color w:val="000000"/>
          <w:lang w:eastAsia="en-US"/>
        </w:rPr>
        <w:t xml:space="preserve"> </w:t>
      </w:r>
    </w:p>
    <w:p w14:paraId="563B228B" w14:textId="4107CB04" w:rsidR="00F13404" w:rsidRDefault="00F13404" w:rsidP="00F13404">
      <w:pPr>
        <w:autoSpaceDE w:val="0"/>
        <w:autoSpaceDN w:val="0"/>
        <w:adjustRightInd w:val="0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 xml:space="preserve">GAEBA </w:t>
      </w:r>
      <w:r>
        <w:rPr>
          <w:color w:val="000000"/>
          <w:lang w:eastAsia="en-US"/>
        </w:rPr>
        <w:t>welcomes abstracts for the 2022 virtual World Eye Bank Symposium (WEBS). Submissions are due by April 30</w:t>
      </w:r>
      <w:r w:rsidRPr="00F13404">
        <w:rPr>
          <w:color w:val="000000"/>
          <w:vertAlign w:val="superscript"/>
          <w:lang w:eastAsia="en-US"/>
        </w:rPr>
        <w:t>th</w:t>
      </w:r>
      <w:r>
        <w:rPr>
          <w:color w:val="000000"/>
          <w:lang w:eastAsia="en-US"/>
        </w:rPr>
        <w:t xml:space="preserve"> 2022. Details on the process are outlined below. </w:t>
      </w:r>
      <w:r w:rsidR="00106580">
        <w:rPr>
          <w:color w:val="000000"/>
          <w:lang w:eastAsia="en-US"/>
        </w:rPr>
        <w:t>Abstracts are for presentation style only.</w:t>
      </w:r>
    </w:p>
    <w:p w14:paraId="4FABE21C" w14:textId="77777777" w:rsidR="00F13404" w:rsidRDefault="00F13404" w:rsidP="00F1340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6AA9B177" w14:textId="77777777" w:rsidR="00F13404" w:rsidRPr="00F13404" w:rsidRDefault="00F13404" w:rsidP="00F13404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F13404">
        <w:rPr>
          <w:b/>
          <w:bCs/>
          <w:color w:val="000000"/>
          <w:lang w:eastAsia="en-US"/>
        </w:rPr>
        <w:t>Themes</w:t>
      </w:r>
    </w:p>
    <w:p w14:paraId="3E0C9F44" w14:textId="24CEE275" w:rsidR="00F13404" w:rsidRDefault="00F13404" w:rsidP="00F1340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GAEBA </w:t>
      </w:r>
      <w:r w:rsidRPr="00C66089">
        <w:rPr>
          <w:color w:val="000000"/>
          <w:lang w:eastAsia="en-US"/>
        </w:rPr>
        <w:t xml:space="preserve">upholds bioethical standards and practice, </w:t>
      </w:r>
      <w:r w:rsidR="00BF41AF">
        <w:rPr>
          <w:color w:val="000000"/>
          <w:lang w:eastAsia="en-US"/>
        </w:rPr>
        <w:t xml:space="preserve">and </w:t>
      </w:r>
      <w:r w:rsidRPr="00C66089">
        <w:rPr>
          <w:color w:val="000000"/>
          <w:lang w:eastAsia="en-US"/>
        </w:rPr>
        <w:t>supports a harmonious and open approach to sector advancement</w:t>
      </w:r>
      <w:r>
        <w:rPr>
          <w:color w:val="000000"/>
          <w:lang w:eastAsia="en-US"/>
        </w:rPr>
        <w:t xml:space="preserve">, </w:t>
      </w:r>
      <w:r w:rsidR="00BF41AF">
        <w:rPr>
          <w:color w:val="000000"/>
          <w:lang w:eastAsia="en-US"/>
        </w:rPr>
        <w:t>through the</w:t>
      </w:r>
      <w:r w:rsidRPr="00C66089">
        <w:rPr>
          <w:color w:val="000000"/>
          <w:lang w:eastAsia="en-US"/>
        </w:rPr>
        <w:t xml:space="preserve"> sharing of knowledge and resources</w:t>
      </w:r>
      <w:r w:rsidR="00BA6775" w:rsidRPr="00C66089">
        <w:rPr>
          <w:color w:val="000000"/>
          <w:lang w:eastAsia="en-US"/>
        </w:rPr>
        <w:t xml:space="preserve">. </w:t>
      </w:r>
    </w:p>
    <w:p w14:paraId="0546B917" w14:textId="2152ED80" w:rsidR="00F13404" w:rsidRDefault="00743326" w:rsidP="00F1340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P</w:t>
      </w:r>
      <w:r w:rsidR="00F13404" w:rsidRPr="00F14AB1">
        <w:rPr>
          <w:color w:val="000000"/>
          <w:lang w:eastAsia="en-US"/>
        </w:rPr>
        <w:t>resentations m</w:t>
      </w:r>
      <w:r>
        <w:rPr>
          <w:color w:val="000000"/>
          <w:lang w:eastAsia="en-US"/>
        </w:rPr>
        <w:t>ay</w:t>
      </w:r>
      <w:r w:rsidR="00F13404" w:rsidRPr="00F14AB1">
        <w:rPr>
          <w:color w:val="000000"/>
          <w:lang w:eastAsia="en-US"/>
        </w:rPr>
        <w:t xml:space="preserve"> be global in nature or </w:t>
      </w:r>
      <w:r w:rsidR="00F13404">
        <w:rPr>
          <w:color w:val="000000"/>
          <w:lang w:eastAsia="en-US"/>
        </w:rPr>
        <w:t>offer local and national</w:t>
      </w:r>
      <w:r w:rsidR="00F13404" w:rsidRPr="00F14AB1">
        <w:rPr>
          <w:color w:val="000000"/>
          <w:lang w:eastAsia="en-US"/>
        </w:rPr>
        <w:t xml:space="preserve"> examples that </w:t>
      </w:r>
      <w:r w:rsidR="001D5ABA">
        <w:rPr>
          <w:color w:val="000000"/>
          <w:lang w:eastAsia="en-US"/>
        </w:rPr>
        <w:t>may</w:t>
      </w:r>
      <w:r w:rsidR="00F13404" w:rsidRPr="00F14AB1">
        <w:rPr>
          <w:color w:val="000000"/>
          <w:lang w:eastAsia="en-US"/>
        </w:rPr>
        <w:t xml:space="preserve"> </w:t>
      </w:r>
      <w:r w:rsidR="00F13404">
        <w:rPr>
          <w:color w:val="000000"/>
          <w:lang w:eastAsia="en-US"/>
        </w:rPr>
        <w:t xml:space="preserve">inspire </w:t>
      </w:r>
      <w:r w:rsidR="00F13404" w:rsidRPr="00F14AB1">
        <w:rPr>
          <w:color w:val="000000"/>
          <w:lang w:eastAsia="en-US"/>
        </w:rPr>
        <w:t xml:space="preserve">delegates </w:t>
      </w:r>
      <w:r w:rsidR="00F13404">
        <w:rPr>
          <w:color w:val="000000"/>
          <w:lang w:eastAsia="en-US"/>
        </w:rPr>
        <w:t xml:space="preserve">from around the world </w:t>
      </w:r>
      <w:r w:rsidR="001D5ABA">
        <w:rPr>
          <w:color w:val="000000"/>
          <w:lang w:eastAsia="en-US"/>
        </w:rPr>
        <w:t xml:space="preserve">to further their own practice and contribution to the field. </w:t>
      </w:r>
    </w:p>
    <w:p w14:paraId="41207072" w14:textId="77777777" w:rsidR="001D5ABA" w:rsidRDefault="001D5ABA" w:rsidP="00F1340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0537627A" w14:textId="77777777" w:rsidR="00F13404" w:rsidRPr="00C66089" w:rsidRDefault="00F13404" w:rsidP="00F1340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Example of acceptable themes:</w:t>
      </w:r>
    </w:p>
    <w:tbl>
      <w:tblPr>
        <w:tblW w:w="90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F13404" w:rsidRPr="00C66089" w14:paraId="592F5E71" w14:textId="77777777" w:rsidTr="00D31EA1">
        <w:trPr>
          <w:trHeight w:val="110"/>
        </w:trPr>
        <w:tc>
          <w:tcPr>
            <w:tcW w:w="4361" w:type="dxa"/>
          </w:tcPr>
          <w:p w14:paraId="38C9A1DC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Donor dignity and management </w:t>
            </w:r>
          </w:p>
        </w:tc>
        <w:tc>
          <w:tcPr>
            <w:tcW w:w="4678" w:type="dxa"/>
          </w:tcPr>
          <w:p w14:paraId="2A534FF6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Tissue processing and allocation</w:t>
            </w:r>
          </w:p>
        </w:tc>
      </w:tr>
      <w:tr w:rsidR="00F13404" w:rsidRPr="00C66089" w14:paraId="1EF586CE" w14:textId="77777777" w:rsidTr="00D31EA1">
        <w:trPr>
          <w:trHeight w:val="110"/>
        </w:trPr>
        <w:tc>
          <w:tcPr>
            <w:tcW w:w="4361" w:type="dxa"/>
          </w:tcPr>
          <w:p w14:paraId="0946F93C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Geographic risk variance </w:t>
            </w:r>
          </w:p>
        </w:tc>
        <w:tc>
          <w:tcPr>
            <w:tcW w:w="4678" w:type="dxa"/>
          </w:tcPr>
          <w:p w14:paraId="02D420A8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Quality Management</w:t>
            </w:r>
          </w:p>
        </w:tc>
      </w:tr>
      <w:tr w:rsidR="00F13404" w:rsidRPr="00C66089" w14:paraId="59011778" w14:textId="77777777" w:rsidTr="00D31EA1">
        <w:trPr>
          <w:trHeight w:val="110"/>
        </w:trPr>
        <w:tc>
          <w:tcPr>
            <w:tcW w:w="4361" w:type="dxa"/>
          </w:tcPr>
          <w:p w14:paraId="4C414209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>Cellular</w:t>
            </w:r>
            <w:r>
              <w:rPr>
                <w:color w:val="000000"/>
                <w:lang w:eastAsia="en-US"/>
              </w:rPr>
              <w:t xml:space="preserve"> and future</w:t>
            </w:r>
            <w:r w:rsidRPr="00C66089">
              <w:rPr>
                <w:color w:val="000000"/>
                <w:lang w:eastAsia="en-US"/>
              </w:rPr>
              <w:t xml:space="preserve"> therapies </w:t>
            </w:r>
          </w:p>
        </w:tc>
        <w:tc>
          <w:tcPr>
            <w:tcW w:w="4678" w:type="dxa"/>
          </w:tcPr>
          <w:p w14:paraId="7E8F42C2" w14:textId="603B64AD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>Transnational/cross-border activities</w:t>
            </w:r>
            <w:r>
              <w:rPr>
                <w:color w:val="000000"/>
                <w:lang w:eastAsia="en-US"/>
              </w:rPr>
              <w:t>/tissue and service sharing</w:t>
            </w:r>
            <w:r w:rsidR="00BF41AF">
              <w:rPr>
                <w:color w:val="000000"/>
                <w:lang w:eastAsia="en-US"/>
              </w:rPr>
              <w:t>/capacity development</w:t>
            </w:r>
            <w:r w:rsidRPr="00C66089">
              <w:rPr>
                <w:color w:val="000000"/>
                <w:lang w:eastAsia="en-US"/>
              </w:rPr>
              <w:t xml:space="preserve"> </w:t>
            </w:r>
          </w:p>
        </w:tc>
      </w:tr>
      <w:tr w:rsidR="00F13404" w:rsidRPr="00C66089" w14:paraId="49B7F216" w14:textId="77777777" w:rsidTr="00D31EA1">
        <w:trPr>
          <w:trHeight w:val="110"/>
        </w:trPr>
        <w:tc>
          <w:tcPr>
            <w:tcW w:w="4361" w:type="dxa"/>
          </w:tcPr>
          <w:p w14:paraId="19EE2E56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Endothelial corneal transplant/dysfunction </w:t>
            </w:r>
          </w:p>
        </w:tc>
        <w:tc>
          <w:tcPr>
            <w:tcW w:w="4678" w:type="dxa"/>
          </w:tcPr>
          <w:p w14:paraId="6174679E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Ethical practice/conduct </w:t>
            </w:r>
          </w:p>
        </w:tc>
      </w:tr>
      <w:tr w:rsidR="00F13404" w:rsidRPr="00C66089" w14:paraId="79B2FE62" w14:textId="77777777" w:rsidTr="00D31EA1">
        <w:trPr>
          <w:trHeight w:val="110"/>
        </w:trPr>
        <w:tc>
          <w:tcPr>
            <w:tcW w:w="4361" w:type="dxa"/>
          </w:tcPr>
          <w:p w14:paraId="30CF2018" w14:textId="3AFA2FDC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Management/workforce development </w:t>
            </w:r>
          </w:p>
        </w:tc>
        <w:tc>
          <w:tcPr>
            <w:tcW w:w="4678" w:type="dxa"/>
          </w:tcPr>
          <w:p w14:paraId="150EF3FD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Research and development </w:t>
            </w:r>
          </w:p>
        </w:tc>
      </w:tr>
      <w:tr w:rsidR="00F13404" w:rsidRPr="00C66089" w14:paraId="53259FC3" w14:textId="77777777" w:rsidTr="00D31EA1">
        <w:trPr>
          <w:trHeight w:val="110"/>
        </w:trPr>
        <w:tc>
          <w:tcPr>
            <w:tcW w:w="4361" w:type="dxa"/>
          </w:tcPr>
          <w:p w14:paraId="62D5EEC2" w14:textId="2B0AE549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Microbiology/immunology </w:t>
            </w:r>
          </w:p>
        </w:tc>
        <w:tc>
          <w:tcPr>
            <w:tcW w:w="4678" w:type="dxa"/>
          </w:tcPr>
          <w:p w14:paraId="44357DBD" w14:textId="77777777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New technologies </w:t>
            </w:r>
          </w:p>
        </w:tc>
      </w:tr>
      <w:tr w:rsidR="00F13404" w:rsidRPr="00C66089" w14:paraId="4F0C12E1" w14:textId="77777777" w:rsidTr="00D31EA1">
        <w:trPr>
          <w:trHeight w:val="110"/>
        </w:trPr>
        <w:tc>
          <w:tcPr>
            <w:tcW w:w="4361" w:type="dxa"/>
          </w:tcPr>
          <w:p w14:paraId="656EEF74" w14:textId="220FB48B" w:rsidR="00F13404" w:rsidRPr="00C66089" w:rsidRDefault="00161D89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Integration into other health systems </w:t>
            </w:r>
          </w:p>
        </w:tc>
        <w:tc>
          <w:tcPr>
            <w:tcW w:w="4678" w:type="dxa"/>
          </w:tcPr>
          <w:p w14:paraId="6BE51964" w14:textId="03B60576" w:rsidR="00F13404" w:rsidRPr="00C66089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66089">
              <w:rPr>
                <w:color w:val="000000"/>
                <w:lang w:eastAsia="en-US"/>
              </w:rPr>
              <w:t xml:space="preserve">Sclera, amnion, and other </w:t>
            </w:r>
            <w:r w:rsidR="00BF41AF">
              <w:rPr>
                <w:color w:val="000000"/>
                <w:lang w:eastAsia="en-US"/>
              </w:rPr>
              <w:t xml:space="preserve">areas of </w:t>
            </w:r>
            <w:r w:rsidRPr="00C66089">
              <w:rPr>
                <w:color w:val="000000"/>
                <w:lang w:eastAsia="en-US"/>
              </w:rPr>
              <w:t xml:space="preserve">service </w:t>
            </w:r>
          </w:p>
        </w:tc>
      </w:tr>
      <w:tr w:rsidR="00F13404" w:rsidRPr="00C66089" w14:paraId="4BD7E0CC" w14:textId="77777777" w:rsidTr="00D31EA1">
        <w:trPr>
          <w:trHeight w:val="110"/>
        </w:trPr>
        <w:tc>
          <w:tcPr>
            <w:tcW w:w="4361" w:type="dxa"/>
          </w:tcPr>
          <w:p w14:paraId="1D3D1DD4" w14:textId="77777777" w:rsidR="00F13404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COVID impact on services</w:t>
            </w:r>
          </w:p>
        </w:tc>
        <w:tc>
          <w:tcPr>
            <w:tcW w:w="4678" w:type="dxa"/>
          </w:tcPr>
          <w:p w14:paraId="4CAE0A8F" w14:textId="6A1338EF" w:rsidR="00F13404" w:rsidRDefault="00161D89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Support towards the</w:t>
            </w:r>
            <w:r w:rsidR="00F13404">
              <w:rPr>
                <w:color w:val="000000"/>
                <w:lang w:eastAsia="en-US"/>
              </w:rPr>
              <w:t xml:space="preserve"> United Nation’s Sustainable Development Goals and similar global initiatives</w:t>
            </w:r>
          </w:p>
        </w:tc>
      </w:tr>
      <w:tr w:rsidR="00F13404" w:rsidRPr="00C66089" w14:paraId="1DC30437" w14:textId="77777777" w:rsidTr="00D31EA1">
        <w:trPr>
          <w:trHeight w:val="110"/>
        </w:trPr>
        <w:tc>
          <w:tcPr>
            <w:tcW w:w="4361" w:type="dxa"/>
          </w:tcPr>
          <w:p w14:paraId="33D7CB93" w14:textId="5500CA01" w:rsidR="00F13404" w:rsidRDefault="00161D89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F13404">
              <w:rPr>
                <w:color w:val="000000"/>
                <w:lang w:eastAsia="en-US"/>
              </w:rPr>
              <w:t>ulnerable populations and minority groups</w:t>
            </w:r>
          </w:p>
        </w:tc>
        <w:tc>
          <w:tcPr>
            <w:tcW w:w="4678" w:type="dxa"/>
          </w:tcPr>
          <w:p w14:paraId="78A99B98" w14:textId="77777777" w:rsidR="00F13404" w:rsidRDefault="00F13404" w:rsidP="00D31EA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Case Studies</w:t>
            </w:r>
          </w:p>
        </w:tc>
      </w:tr>
    </w:tbl>
    <w:p w14:paraId="4FB9ACC4" w14:textId="77777777" w:rsidR="00F13404" w:rsidRPr="00C66089" w:rsidRDefault="00F13404" w:rsidP="00C66089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6BE89A31" w14:textId="77777777" w:rsidR="00C66089" w:rsidRPr="00C66089" w:rsidRDefault="00C66089" w:rsidP="00C66089">
      <w:pPr>
        <w:autoSpaceDE w:val="0"/>
        <w:autoSpaceDN w:val="0"/>
        <w:adjustRightInd w:val="0"/>
        <w:rPr>
          <w:color w:val="000000"/>
          <w:lang w:eastAsia="en-US"/>
        </w:rPr>
      </w:pPr>
      <w:r w:rsidRPr="00C66089">
        <w:rPr>
          <w:b/>
          <w:bCs/>
          <w:color w:val="000000"/>
          <w:lang w:eastAsia="en-US"/>
        </w:rPr>
        <w:t xml:space="preserve">Instructions: </w:t>
      </w:r>
    </w:p>
    <w:p w14:paraId="4D2D78A1" w14:textId="1C29B183" w:rsidR="00C66089" w:rsidRPr="00C66089" w:rsidRDefault="00C66089" w:rsidP="00C660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 xml:space="preserve">All delegates and abstract presenters are responsible for </w:t>
      </w:r>
      <w:r w:rsidR="00253A1B">
        <w:rPr>
          <w:color w:val="000000"/>
          <w:lang w:eastAsia="en-US"/>
        </w:rPr>
        <w:t xml:space="preserve">managing </w:t>
      </w:r>
      <w:r w:rsidRPr="00C66089">
        <w:rPr>
          <w:color w:val="000000"/>
          <w:lang w:eastAsia="en-US"/>
        </w:rPr>
        <w:t xml:space="preserve">their </w:t>
      </w:r>
      <w:r w:rsidR="00253A1B">
        <w:rPr>
          <w:color w:val="000000"/>
          <w:lang w:eastAsia="en-US"/>
        </w:rPr>
        <w:t xml:space="preserve">own WEBS </w:t>
      </w:r>
      <w:r w:rsidRPr="00C66089">
        <w:rPr>
          <w:color w:val="000000"/>
          <w:lang w:eastAsia="en-US"/>
        </w:rPr>
        <w:t>registration.</w:t>
      </w:r>
      <w:r w:rsidR="00253A1B">
        <w:rPr>
          <w:color w:val="000000"/>
          <w:lang w:eastAsia="en-US"/>
        </w:rPr>
        <w:t xml:space="preserve"> Please visit </w:t>
      </w:r>
      <w:hyperlink r:id="rId7" w:history="1">
        <w:r w:rsidR="004814E5">
          <w:rPr>
            <w:rStyle w:val="Hyperlink"/>
            <w:lang w:eastAsia="en-US"/>
          </w:rPr>
          <w:t>www,gaeba.org/webs2022</w:t>
        </w:r>
      </w:hyperlink>
      <w:r w:rsidR="00253A1B">
        <w:rPr>
          <w:color w:val="000000"/>
          <w:lang w:eastAsia="en-US"/>
        </w:rPr>
        <w:t xml:space="preserve"> for</w:t>
      </w:r>
      <w:r w:rsidR="004814E5">
        <w:rPr>
          <w:color w:val="000000"/>
          <w:lang w:eastAsia="en-US"/>
        </w:rPr>
        <w:t xml:space="preserve"> event and</w:t>
      </w:r>
      <w:r w:rsidR="00253A1B">
        <w:rPr>
          <w:color w:val="000000"/>
          <w:lang w:eastAsia="en-US"/>
        </w:rPr>
        <w:t xml:space="preserve"> registration </w:t>
      </w:r>
      <w:r w:rsidR="004814E5">
        <w:rPr>
          <w:color w:val="000000"/>
          <w:lang w:eastAsia="en-US"/>
        </w:rPr>
        <w:t>details</w:t>
      </w:r>
      <w:r w:rsidR="00253A1B">
        <w:rPr>
          <w:color w:val="000000"/>
          <w:lang w:eastAsia="en-US"/>
        </w:rPr>
        <w:t>.</w:t>
      </w:r>
      <w:r w:rsidRPr="00C66089">
        <w:rPr>
          <w:color w:val="000000"/>
          <w:lang w:eastAsia="en-US"/>
        </w:rPr>
        <w:t xml:space="preserve"> </w:t>
      </w:r>
      <w:r w:rsidR="00253A1B">
        <w:rPr>
          <w:color w:val="000000"/>
          <w:lang w:eastAsia="en-US"/>
        </w:rPr>
        <w:t>Discounts are available for GAEBA members</w:t>
      </w:r>
      <w:r w:rsidR="00106580">
        <w:rPr>
          <w:color w:val="000000"/>
          <w:lang w:eastAsia="en-US"/>
        </w:rPr>
        <w:t>,</w:t>
      </w:r>
      <w:r w:rsidR="00253A1B">
        <w:rPr>
          <w:color w:val="000000"/>
          <w:lang w:eastAsia="en-US"/>
        </w:rPr>
        <w:t xml:space="preserve"> and low and middle </w:t>
      </w:r>
      <w:r w:rsidR="00106580">
        <w:rPr>
          <w:color w:val="000000"/>
          <w:lang w:eastAsia="en-US"/>
        </w:rPr>
        <w:t xml:space="preserve">income </w:t>
      </w:r>
      <w:r w:rsidR="00253A1B">
        <w:rPr>
          <w:color w:val="000000"/>
          <w:lang w:eastAsia="en-US"/>
        </w:rPr>
        <w:t>nation delegates.</w:t>
      </w:r>
    </w:p>
    <w:p w14:paraId="6479A655" w14:textId="4C8C8BE7" w:rsidR="00C66089" w:rsidRDefault="00C66089" w:rsidP="00C660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>
        <w:rPr>
          <w:color w:val="000000"/>
          <w:lang w:eastAsia="en-US"/>
        </w:rPr>
        <w:t>Individuals/collaboratives may submit more than one abstract</w:t>
      </w:r>
      <w:r w:rsidR="00106580">
        <w:rPr>
          <w:color w:val="000000"/>
          <w:lang w:eastAsia="en-US"/>
        </w:rPr>
        <w:t xml:space="preserve">. </w:t>
      </w:r>
    </w:p>
    <w:p w14:paraId="29EEEFA9" w14:textId="4F8A8877" w:rsidR="00C66089" w:rsidRPr="00C66089" w:rsidRDefault="00C66089" w:rsidP="00C660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>The submitter of the abstract must receive the approval of all co-authors before including their names on the abstract</w:t>
      </w:r>
      <w:r>
        <w:rPr>
          <w:color w:val="000000"/>
          <w:lang w:eastAsia="en-US"/>
        </w:rPr>
        <w:t xml:space="preserve"> application.</w:t>
      </w:r>
    </w:p>
    <w:p w14:paraId="557C0596" w14:textId="0F2CC94C" w:rsidR="007F4F9F" w:rsidRPr="007F4F9F" w:rsidRDefault="00C66089" w:rsidP="007F4F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>Research</w:t>
      </w:r>
      <w:r w:rsidR="007F4F9F">
        <w:rPr>
          <w:color w:val="000000"/>
          <w:lang w:eastAsia="en-US"/>
        </w:rPr>
        <w:t>/projects</w:t>
      </w:r>
      <w:r w:rsidRPr="00C66089">
        <w:rPr>
          <w:color w:val="000000"/>
          <w:lang w:eastAsia="en-US"/>
        </w:rPr>
        <w:t xml:space="preserve"> involv</w:t>
      </w:r>
      <w:r w:rsidR="007F4F9F">
        <w:rPr>
          <w:color w:val="000000"/>
          <w:lang w:eastAsia="en-US"/>
        </w:rPr>
        <w:t>ing:</w:t>
      </w:r>
    </w:p>
    <w:p w14:paraId="441DB57B" w14:textId="64066C56" w:rsidR="004814E5" w:rsidRDefault="00253A1B" w:rsidP="004814E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>H</w:t>
      </w:r>
      <w:r w:rsidR="00C66089" w:rsidRPr="00C66089">
        <w:rPr>
          <w:color w:val="000000"/>
          <w:lang w:eastAsia="en-US"/>
        </w:rPr>
        <w:t>uman</w:t>
      </w:r>
      <w:r w:rsidR="007F4F9F">
        <w:rPr>
          <w:color w:val="000000"/>
          <w:lang w:eastAsia="en-US"/>
        </w:rPr>
        <w:t>s</w:t>
      </w:r>
      <w:r>
        <w:rPr>
          <w:color w:val="000000"/>
          <w:lang w:eastAsia="en-US"/>
        </w:rPr>
        <w:t xml:space="preserve"> and human material</w:t>
      </w:r>
      <w:r w:rsidR="00C66089" w:rsidRPr="00C66089">
        <w:rPr>
          <w:color w:val="000000"/>
          <w:lang w:eastAsia="en-US"/>
        </w:rPr>
        <w:t xml:space="preserve"> must adhere to the </w:t>
      </w:r>
      <w:r w:rsidR="00106580">
        <w:rPr>
          <w:color w:val="000000"/>
          <w:lang w:eastAsia="en-US"/>
        </w:rPr>
        <w:t xml:space="preserve">relevant ethical principles for that project (e.g. </w:t>
      </w:r>
      <w:r w:rsidR="00C66089" w:rsidRPr="00C66089">
        <w:rPr>
          <w:color w:val="000000"/>
          <w:lang w:eastAsia="en-US"/>
        </w:rPr>
        <w:t>Declaration of Helsinki – World Medical Association</w:t>
      </w:r>
      <w:r w:rsidR="00106580">
        <w:rPr>
          <w:color w:val="000000"/>
          <w:lang w:eastAsia="en-US"/>
        </w:rPr>
        <w:t xml:space="preserve"> and </w:t>
      </w:r>
      <w:r w:rsidR="007F4F9F">
        <w:rPr>
          <w:color w:val="000000"/>
          <w:lang w:eastAsia="en-US"/>
        </w:rPr>
        <w:t>The Barcelona Principles</w:t>
      </w:r>
      <w:r w:rsidR="00106580">
        <w:rPr>
          <w:color w:val="000000"/>
          <w:lang w:eastAsia="en-US"/>
        </w:rPr>
        <w:t>)</w:t>
      </w:r>
      <w:r w:rsidR="007F4F9F">
        <w:rPr>
          <w:color w:val="000000"/>
          <w:lang w:eastAsia="en-US"/>
        </w:rPr>
        <w:t xml:space="preserve"> </w:t>
      </w:r>
      <w:r w:rsidR="00C66089" w:rsidRPr="00C66089">
        <w:rPr>
          <w:color w:val="000000"/>
          <w:lang w:eastAsia="en-US"/>
        </w:rPr>
        <w:t xml:space="preserve">and demonstrate </w:t>
      </w:r>
      <w:r w:rsidR="007F4F9F">
        <w:rPr>
          <w:color w:val="000000"/>
          <w:lang w:eastAsia="en-US"/>
        </w:rPr>
        <w:t>ethics approval</w:t>
      </w:r>
      <w:r w:rsidR="00106580">
        <w:rPr>
          <w:color w:val="000000"/>
          <w:lang w:eastAsia="en-US"/>
        </w:rPr>
        <w:t>.</w:t>
      </w:r>
    </w:p>
    <w:p w14:paraId="4DF501D0" w14:textId="114A1286" w:rsidR="00161D89" w:rsidRPr="004814E5" w:rsidRDefault="004814E5" w:rsidP="004814E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>
        <w:rPr>
          <w:color w:val="000000"/>
          <w:lang w:eastAsia="en-US"/>
        </w:rPr>
        <w:t>A</w:t>
      </w:r>
      <w:r w:rsidR="00161D89" w:rsidRPr="004814E5">
        <w:rPr>
          <w:color w:val="000000"/>
          <w:lang w:eastAsia="en-US"/>
        </w:rPr>
        <w:t xml:space="preserve">nimals must adhere to </w:t>
      </w:r>
      <w:r w:rsidRPr="004814E5">
        <w:rPr>
          <w:color w:val="000000"/>
          <w:lang w:eastAsia="en-US"/>
        </w:rPr>
        <w:t>relevant national or international animal ethic guidelines.</w:t>
      </w:r>
    </w:p>
    <w:p w14:paraId="4FB530CC" w14:textId="43274F6B" w:rsidR="00C66089" w:rsidRPr="00C66089" w:rsidRDefault="007F4F9F" w:rsidP="007F4F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>
        <w:rPr>
          <w:color w:val="000000"/>
          <w:lang w:eastAsia="en-US"/>
        </w:rPr>
        <w:t>S</w:t>
      </w:r>
      <w:r w:rsidR="00C66089">
        <w:rPr>
          <w:color w:val="000000"/>
          <w:lang w:eastAsia="en-US"/>
        </w:rPr>
        <w:t>ervice</w:t>
      </w:r>
      <w:r>
        <w:rPr>
          <w:color w:val="000000"/>
          <w:lang w:eastAsia="en-US"/>
        </w:rPr>
        <w:t>,</w:t>
      </w:r>
      <w:r w:rsidR="00C66089">
        <w:rPr>
          <w:color w:val="000000"/>
          <w:lang w:eastAsia="en-US"/>
        </w:rPr>
        <w:t xml:space="preserve"> capacity development</w:t>
      </w:r>
      <w:r>
        <w:rPr>
          <w:color w:val="000000"/>
          <w:lang w:eastAsia="en-US"/>
        </w:rPr>
        <w:t>, policy and practice</w:t>
      </w:r>
      <w:r w:rsidR="00C66089">
        <w:rPr>
          <w:color w:val="000000"/>
          <w:lang w:eastAsia="en-US"/>
        </w:rPr>
        <w:t xml:space="preserve"> processes</w:t>
      </w:r>
      <w:r>
        <w:rPr>
          <w:color w:val="000000"/>
          <w:lang w:eastAsia="en-US"/>
        </w:rPr>
        <w:t xml:space="preserve"> </w:t>
      </w:r>
      <w:r w:rsidR="004814E5">
        <w:rPr>
          <w:color w:val="000000"/>
          <w:lang w:eastAsia="en-US"/>
        </w:rPr>
        <w:t xml:space="preserve">are encouraged to indicate how their abstract meets/works towards the aims of </w:t>
      </w:r>
      <w:r w:rsidR="00C66089">
        <w:rPr>
          <w:color w:val="000000"/>
          <w:lang w:eastAsia="en-US"/>
        </w:rPr>
        <w:t>The Barcelona Principles</w:t>
      </w:r>
      <w:r>
        <w:rPr>
          <w:color w:val="000000"/>
          <w:lang w:eastAsia="en-US"/>
        </w:rPr>
        <w:t xml:space="preserve"> </w:t>
      </w:r>
      <w:r w:rsidR="004814E5">
        <w:rPr>
          <w:color w:val="000000"/>
          <w:lang w:eastAsia="en-US"/>
        </w:rPr>
        <w:t>and/or</w:t>
      </w:r>
      <w:r>
        <w:rPr>
          <w:color w:val="000000"/>
          <w:lang w:eastAsia="en-US"/>
        </w:rPr>
        <w:t xml:space="preserve"> the UN Sustainable Development Goals</w:t>
      </w:r>
      <w:r w:rsidR="00253A1B">
        <w:rPr>
          <w:color w:val="000000"/>
          <w:lang w:eastAsia="en-US"/>
        </w:rPr>
        <w:t xml:space="preserve"> [</w:t>
      </w:r>
      <w:hyperlink r:id="rId8" w:history="1">
        <w:r w:rsidR="00253A1B" w:rsidRPr="00761A97">
          <w:rPr>
            <w:rStyle w:val="Hyperlink"/>
            <w:lang w:eastAsia="en-US"/>
          </w:rPr>
          <w:t>https://sdgs.un.org/goals</w:t>
        </w:r>
      </w:hyperlink>
      <w:r w:rsidR="00253A1B">
        <w:rPr>
          <w:color w:val="000000"/>
          <w:lang w:eastAsia="en-US"/>
        </w:rPr>
        <w:t>]</w:t>
      </w:r>
      <w:r w:rsidR="004814E5">
        <w:rPr>
          <w:color w:val="000000"/>
          <w:lang w:eastAsia="en-US"/>
        </w:rPr>
        <w:t xml:space="preserve"> where applicable.</w:t>
      </w:r>
    </w:p>
    <w:p w14:paraId="751DE4C9" w14:textId="561E85F9" w:rsidR="00C66089" w:rsidRPr="00C66089" w:rsidRDefault="00C66089" w:rsidP="00C660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 xml:space="preserve">Abstracts and presentations </w:t>
      </w:r>
      <w:r w:rsidR="00743326">
        <w:rPr>
          <w:color w:val="000000"/>
          <w:lang w:eastAsia="en-US"/>
        </w:rPr>
        <w:t>are to</w:t>
      </w:r>
      <w:r w:rsidRPr="00C66089">
        <w:rPr>
          <w:color w:val="000000"/>
          <w:lang w:eastAsia="en-US"/>
        </w:rPr>
        <w:t xml:space="preserve"> be in English</w:t>
      </w:r>
      <w:r w:rsidR="00253A1B">
        <w:rPr>
          <w:color w:val="000000"/>
          <w:lang w:eastAsia="en-US"/>
        </w:rPr>
        <w:t xml:space="preserve">. </w:t>
      </w:r>
    </w:p>
    <w:p w14:paraId="036A74C5" w14:textId="36108F23" w:rsidR="00C66089" w:rsidRPr="00566E18" w:rsidRDefault="00C66089" w:rsidP="00566E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>Presenters and co-authors must disclose conflicts of interest</w:t>
      </w:r>
      <w:r w:rsidR="00BA6775" w:rsidRPr="00C66089">
        <w:rPr>
          <w:color w:val="000000"/>
          <w:lang w:eastAsia="en-US"/>
        </w:rPr>
        <w:t xml:space="preserve">. </w:t>
      </w:r>
    </w:p>
    <w:p w14:paraId="260E5746" w14:textId="17D39C86" w:rsidR="00C66089" w:rsidRPr="00C66089" w:rsidRDefault="00C66089" w:rsidP="00C660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eastAsia="en-US"/>
        </w:rPr>
      </w:pPr>
      <w:r w:rsidRPr="00C66089">
        <w:rPr>
          <w:color w:val="000000"/>
          <w:lang w:eastAsia="en-US"/>
        </w:rPr>
        <w:t xml:space="preserve">GAEBA and WEBS reserve the right to reject or decline abstracts at any stage. </w:t>
      </w:r>
    </w:p>
    <w:p w14:paraId="0F36EAA1" w14:textId="682A3644" w:rsidR="00C66089" w:rsidRDefault="00C66089" w:rsidP="00C66089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36C19215" w14:textId="77777777" w:rsidR="00106580" w:rsidRDefault="00106580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</w:p>
    <w:p w14:paraId="23C49DC1" w14:textId="1067F83F" w:rsidR="009D0779" w:rsidRDefault="009D0779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Review Process</w:t>
      </w:r>
    </w:p>
    <w:p w14:paraId="4C9B01FA" w14:textId="65ACBBC2" w:rsidR="009D0779" w:rsidRDefault="009D0779" w:rsidP="005A44C7">
      <w:pPr>
        <w:autoSpaceDE w:val="0"/>
        <w:autoSpaceDN w:val="0"/>
        <w:rPr>
          <w:color w:val="000000"/>
          <w:lang w:val="en-US"/>
        </w:rPr>
      </w:pPr>
      <w:r w:rsidRPr="00B90D68">
        <w:rPr>
          <w:color w:val="000000"/>
          <w:lang w:val="en-US"/>
        </w:rPr>
        <w:t>A dedicated</w:t>
      </w:r>
      <w:r w:rsidR="00B90D68">
        <w:rPr>
          <w:color w:val="000000"/>
          <w:lang w:val="en-US"/>
        </w:rPr>
        <w:t xml:space="preserve"> independent </w:t>
      </w:r>
      <w:r w:rsidR="00566E18">
        <w:rPr>
          <w:color w:val="000000"/>
          <w:lang w:val="en-US"/>
        </w:rPr>
        <w:t>A</w:t>
      </w:r>
      <w:r w:rsidRPr="00B90D68">
        <w:rPr>
          <w:color w:val="000000"/>
          <w:lang w:val="en-US"/>
        </w:rPr>
        <w:t xml:space="preserve">bstract </w:t>
      </w:r>
      <w:r w:rsidR="00566E18">
        <w:rPr>
          <w:color w:val="000000"/>
          <w:lang w:val="en-US"/>
        </w:rPr>
        <w:t>T</w:t>
      </w:r>
      <w:r w:rsidRPr="00B90D68">
        <w:rPr>
          <w:color w:val="000000"/>
          <w:lang w:val="en-US"/>
        </w:rPr>
        <w:t xml:space="preserve">eam will transfer your application to members of the </w:t>
      </w:r>
      <w:r w:rsidR="00566E18">
        <w:rPr>
          <w:color w:val="000000"/>
          <w:lang w:val="en-US"/>
        </w:rPr>
        <w:t xml:space="preserve">abstract </w:t>
      </w:r>
      <w:r w:rsidRPr="00B90D68">
        <w:rPr>
          <w:color w:val="000000"/>
          <w:lang w:val="en-US"/>
        </w:rPr>
        <w:t xml:space="preserve">review </w:t>
      </w:r>
      <w:r w:rsidR="00E44E44">
        <w:rPr>
          <w:color w:val="000000"/>
          <w:lang w:val="en-US"/>
        </w:rPr>
        <w:t>panel</w:t>
      </w:r>
      <w:r w:rsidRPr="00B90D68">
        <w:rPr>
          <w:color w:val="000000"/>
          <w:lang w:val="en-US"/>
        </w:rPr>
        <w:t>.</w:t>
      </w:r>
      <w:r w:rsidR="00B90D68" w:rsidRPr="00B90D68">
        <w:rPr>
          <w:color w:val="000000"/>
          <w:lang w:val="en-US"/>
        </w:rPr>
        <w:t xml:space="preserve"> A strict process is in place, for example</w:t>
      </w:r>
      <w:r w:rsidR="00566E18">
        <w:rPr>
          <w:color w:val="000000"/>
          <w:lang w:val="en-US"/>
        </w:rPr>
        <w:t>,</w:t>
      </w:r>
      <w:r w:rsidR="00B90D68" w:rsidRPr="00B90D68">
        <w:rPr>
          <w:color w:val="000000"/>
          <w:lang w:val="en-US"/>
        </w:rPr>
        <w:t xml:space="preserve"> reviewers will not review applicants </w:t>
      </w:r>
      <w:r w:rsidR="00566E18">
        <w:rPr>
          <w:color w:val="000000"/>
          <w:lang w:val="en-US"/>
        </w:rPr>
        <w:t>from their own organization or where they are a co-author.</w:t>
      </w:r>
      <w:r w:rsidR="00743326">
        <w:rPr>
          <w:color w:val="000000"/>
          <w:lang w:val="en-US"/>
        </w:rPr>
        <w:t xml:space="preserve"> All abstracts will be reviewed by an independent review panel to determine selection.</w:t>
      </w:r>
    </w:p>
    <w:p w14:paraId="36739828" w14:textId="77777777" w:rsidR="00566E18" w:rsidRPr="00B90D68" w:rsidRDefault="00566E18" w:rsidP="005A44C7">
      <w:pPr>
        <w:autoSpaceDE w:val="0"/>
        <w:autoSpaceDN w:val="0"/>
        <w:rPr>
          <w:color w:val="000000"/>
          <w:lang w:val="en-US"/>
        </w:rPr>
      </w:pPr>
    </w:p>
    <w:p w14:paraId="0D207FD8" w14:textId="48E4B94C" w:rsidR="009D0779" w:rsidRDefault="009D0779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Outcome notification</w:t>
      </w:r>
    </w:p>
    <w:p w14:paraId="37D2FFCB" w14:textId="3B1FE6B1" w:rsidR="009D0779" w:rsidRPr="009D0779" w:rsidRDefault="009D0779" w:rsidP="005A44C7">
      <w:pPr>
        <w:autoSpaceDE w:val="0"/>
        <w:autoSpaceDN w:val="0"/>
        <w:rPr>
          <w:color w:val="000000"/>
          <w:lang w:val="en-US"/>
        </w:rPr>
      </w:pPr>
      <w:r w:rsidRPr="009D0779">
        <w:rPr>
          <w:color w:val="000000"/>
          <w:lang w:val="en-US"/>
        </w:rPr>
        <w:t xml:space="preserve">Applicants will be notified in late May/early June of the outcome. Successful applicants will be </w:t>
      </w:r>
      <w:r w:rsidR="00253A1B">
        <w:rPr>
          <w:color w:val="000000"/>
          <w:lang w:val="en-US"/>
        </w:rPr>
        <w:t xml:space="preserve">directed to the WEBS Conference Team who will </w:t>
      </w:r>
      <w:r w:rsidRPr="009D0779">
        <w:rPr>
          <w:color w:val="000000"/>
          <w:lang w:val="en-US"/>
        </w:rPr>
        <w:t xml:space="preserve">provide information on </w:t>
      </w:r>
      <w:r w:rsidR="0047526E">
        <w:rPr>
          <w:color w:val="000000"/>
          <w:lang w:val="en-US"/>
        </w:rPr>
        <w:t xml:space="preserve">the presentation style and length, </w:t>
      </w:r>
      <w:r w:rsidRPr="009D0779">
        <w:rPr>
          <w:color w:val="000000"/>
          <w:lang w:val="en-US"/>
        </w:rPr>
        <w:t>how and when to</w:t>
      </w:r>
      <w:r w:rsidR="00566E18">
        <w:rPr>
          <w:color w:val="000000"/>
          <w:lang w:val="en-US"/>
        </w:rPr>
        <w:t xml:space="preserve"> register for WEBS</w:t>
      </w:r>
      <w:r w:rsidR="0047526E">
        <w:rPr>
          <w:color w:val="000000"/>
          <w:lang w:val="en-US"/>
        </w:rPr>
        <w:t xml:space="preserve">, and how to </w:t>
      </w:r>
      <w:r w:rsidRPr="009D0779">
        <w:rPr>
          <w:color w:val="000000"/>
          <w:lang w:val="en-US"/>
        </w:rPr>
        <w:t xml:space="preserve">up-load their pre-recorded </w:t>
      </w:r>
      <w:r w:rsidR="00B90D68">
        <w:rPr>
          <w:color w:val="000000"/>
          <w:lang w:val="en-US"/>
        </w:rPr>
        <w:t xml:space="preserve">presentation. </w:t>
      </w:r>
    </w:p>
    <w:p w14:paraId="42DB4A98" w14:textId="77777777" w:rsidR="009D0779" w:rsidRDefault="009D0779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</w:p>
    <w:p w14:paraId="5AFB18E6" w14:textId="3E00479A" w:rsidR="005A44C7" w:rsidRDefault="005A44C7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Submit</w:t>
      </w:r>
    </w:p>
    <w:p w14:paraId="3B04CFBF" w14:textId="1C409C9A" w:rsidR="005A44C7" w:rsidRDefault="005A44C7" w:rsidP="005A44C7">
      <w:pPr>
        <w:autoSpaceDE w:val="0"/>
        <w:autoSpaceDN w:val="0"/>
        <w:rPr>
          <w:color w:val="000000"/>
          <w:lang w:val="en-US"/>
        </w:rPr>
      </w:pPr>
      <w:r w:rsidRPr="0066005A">
        <w:rPr>
          <w:color w:val="000000"/>
          <w:lang w:val="en-US"/>
        </w:rPr>
        <w:t xml:space="preserve">Please complete and return the </w:t>
      </w:r>
      <w:r w:rsidR="0047526E">
        <w:rPr>
          <w:color w:val="000000"/>
          <w:lang w:val="en-US"/>
        </w:rPr>
        <w:t xml:space="preserve">application </w:t>
      </w:r>
      <w:r w:rsidR="001C7C06">
        <w:rPr>
          <w:color w:val="000000"/>
          <w:lang w:val="en-US"/>
        </w:rPr>
        <w:t>form</w:t>
      </w:r>
      <w:r w:rsidRPr="0066005A">
        <w:rPr>
          <w:color w:val="000000"/>
          <w:lang w:val="en-US"/>
        </w:rPr>
        <w:t xml:space="preserve"> </w:t>
      </w:r>
      <w:r w:rsidR="00106580">
        <w:rPr>
          <w:color w:val="000000"/>
          <w:lang w:val="en-US"/>
        </w:rPr>
        <w:t xml:space="preserve">(on the next page) </w:t>
      </w:r>
      <w:r w:rsidRPr="0066005A">
        <w:rPr>
          <w:color w:val="000000"/>
          <w:lang w:val="en-US"/>
        </w:rPr>
        <w:t>to</w:t>
      </w:r>
      <w:r w:rsidR="001C7C06">
        <w:rPr>
          <w:color w:val="000000"/>
          <w:lang w:val="en-US"/>
        </w:rPr>
        <w:t xml:space="preserve">: </w:t>
      </w:r>
      <w:hyperlink r:id="rId9" w:history="1">
        <w:r w:rsidR="0047526E" w:rsidRPr="003649C1">
          <w:rPr>
            <w:rStyle w:val="Hyperlink"/>
            <w:lang w:val="en-US"/>
          </w:rPr>
          <w:t>abstractsWEBS@gaeba.org</w:t>
        </w:r>
      </w:hyperlink>
      <w:r w:rsidR="001C7C06">
        <w:rPr>
          <w:color w:val="000000"/>
          <w:lang w:val="en-US"/>
        </w:rPr>
        <w:t xml:space="preserve"> </w:t>
      </w:r>
      <w:r w:rsidRPr="0066005A">
        <w:rPr>
          <w:color w:val="000000"/>
          <w:lang w:val="en-US"/>
        </w:rPr>
        <w:t>by April 30</w:t>
      </w:r>
      <w:r w:rsidRPr="0066005A">
        <w:rPr>
          <w:color w:val="000000"/>
          <w:vertAlign w:val="superscript"/>
          <w:lang w:val="en-US"/>
        </w:rPr>
        <w:t>th</w:t>
      </w:r>
      <w:r w:rsidRPr="0066005A">
        <w:rPr>
          <w:color w:val="000000"/>
          <w:lang w:val="en-US"/>
        </w:rPr>
        <w:t xml:space="preserve"> 2022. </w:t>
      </w:r>
    </w:p>
    <w:p w14:paraId="75EAD560" w14:textId="4D08C62D" w:rsidR="00B90D68" w:rsidRDefault="00B90D68" w:rsidP="005A44C7">
      <w:pPr>
        <w:autoSpaceDE w:val="0"/>
        <w:autoSpaceDN w:val="0"/>
        <w:rPr>
          <w:color w:val="000000"/>
          <w:lang w:val="en-US"/>
        </w:rPr>
      </w:pPr>
    </w:p>
    <w:p w14:paraId="1FEEEBEC" w14:textId="691DF9AD" w:rsidR="00B90D68" w:rsidRPr="00B90D68" w:rsidRDefault="00B90D68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 w:rsidRPr="00B90D68">
        <w:rPr>
          <w:b/>
          <w:bCs/>
          <w:i/>
          <w:iCs/>
          <w:color w:val="000000"/>
          <w:lang w:val="en-US"/>
        </w:rPr>
        <w:t>Further Questions</w:t>
      </w:r>
    </w:p>
    <w:p w14:paraId="64A78164" w14:textId="44E85418" w:rsidR="00B90D68" w:rsidRDefault="00B90D68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>
        <w:rPr>
          <w:color w:val="000000"/>
          <w:lang w:val="en-US"/>
        </w:rPr>
        <w:t xml:space="preserve">Please contact our Abstract Team via: </w:t>
      </w:r>
      <w:hyperlink r:id="rId10" w:history="1">
        <w:r w:rsidRPr="003649C1">
          <w:rPr>
            <w:rStyle w:val="Hyperlink"/>
            <w:lang w:val="en-US"/>
          </w:rPr>
          <w:t>abstractsWEBS@gaeba.org</w:t>
        </w:r>
      </w:hyperlink>
      <w:r>
        <w:rPr>
          <w:color w:val="000000"/>
          <w:lang w:val="en-US"/>
        </w:rPr>
        <w:t xml:space="preserve"> </w:t>
      </w:r>
    </w:p>
    <w:p w14:paraId="531A2B3C" w14:textId="77777777" w:rsidR="00451A27" w:rsidRDefault="00451A27" w:rsidP="005A44C7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</w:p>
    <w:p w14:paraId="26201EAE" w14:textId="77777777" w:rsidR="00B90D68" w:rsidRDefault="00B90D6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26E9D0E" w14:textId="77777777" w:rsidR="00B90D68" w:rsidRDefault="00B90D6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200DB615" w14:textId="4F9990D4" w:rsidR="00B90D68" w:rsidRDefault="00B90D6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155F154" w14:textId="6917F4F6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71D6C37" w14:textId="1ECD5492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6322FAB" w14:textId="0E5B89AB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68BD10BA" w14:textId="3837A4D5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9BB637C" w14:textId="34E4594D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7429CDD" w14:textId="1188A57A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240EEF8" w14:textId="501C7C08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6FCF13DF" w14:textId="763A5176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6541B05" w14:textId="539D7218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A2EF668" w14:textId="56AFDF01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40B006E" w14:textId="251C5859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B7626BF" w14:textId="0EB9541E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76DCB77F" w14:textId="0C78709C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0384D2B0" w14:textId="19935E64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598DB80" w14:textId="142987AF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1846F14F" w14:textId="74A42808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8A0ADEC" w14:textId="273D09AF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6BA934F8" w14:textId="5562095A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2D0D93E5" w14:textId="7CEF75A1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09809F99" w14:textId="267758AC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B9178C7" w14:textId="26D35046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13BB4913" w14:textId="12EF27DC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7BD8E11C" w14:textId="4A40E63C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6CD5767" w14:textId="7E9EC875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2C7D19A1" w14:textId="564D0955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646BE588" w14:textId="1A518294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440B1805" w14:textId="78A550C1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19F956FD" w14:textId="77777777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  <w:r w:rsidRPr="00756FF4">
        <w:rPr>
          <w:b/>
          <w:bCs/>
          <w:color w:val="000000"/>
          <w:lang w:val="en-US"/>
        </w:rPr>
        <w:t>APPLICATION FORM</w:t>
      </w:r>
    </w:p>
    <w:p w14:paraId="0D8AF637" w14:textId="77777777" w:rsidR="00106580" w:rsidRDefault="00106580" w:rsidP="00106580">
      <w:pPr>
        <w:autoSpaceDE w:val="0"/>
        <w:autoSpaceDN w:val="0"/>
        <w:jc w:val="center"/>
        <w:rPr>
          <w:b/>
          <w:bCs/>
          <w:color w:val="000000"/>
          <w:lang w:val="en-US"/>
        </w:rPr>
      </w:pPr>
    </w:p>
    <w:p w14:paraId="27144857" w14:textId="77777777" w:rsidR="00106580" w:rsidRDefault="00106580" w:rsidP="00106580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2022 </w:t>
      </w:r>
      <w:r w:rsidRPr="00C66089">
        <w:rPr>
          <w:b/>
          <w:bCs/>
          <w:color w:val="000000"/>
          <w:lang w:eastAsia="en-US"/>
        </w:rPr>
        <w:t>World Eye Bank Symposium</w:t>
      </w:r>
    </w:p>
    <w:p w14:paraId="5027F976" w14:textId="77777777" w:rsidR="00106580" w:rsidRPr="00756FF4" w:rsidRDefault="00106580" w:rsidP="00106580">
      <w:pPr>
        <w:autoSpaceDE w:val="0"/>
        <w:autoSpaceDN w:val="0"/>
        <w:rPr>
          <w:b/>
          <w:bCs/>
          <w:color w:val="000000"/>
          <w:lang w:val="en-US"/>
        </w:rPr>
      </w:pPr>
    </w:p>
    <w:p w14:paraId="289A0520" w14:textId="77777777" w:rsidR="00106580" w:rsidRDefault="00106580" w:rsidP="00106580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</w:p>
    <w:p w14:paraId="37C36DA0" w14:textId="77777777" w:rsidR="00106580" w:rsidRDefault="00106580" w:rsidP="00106580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</w:p>
    <w:p w14:paraId="5F515429" w14:textId="77777777" w:rsidR="00106580" w:rsidRDefault="00106580" w:rsidP="00106580">
      <w:pPr>
        <w:autoSpaceDE w:val="0"/>
        <w:autoSpaceDN w:val="0"/>
        <w:rPr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Applicant contact person: </w:t>
      </w:r>
    </w:p>
    <w:p w14:paraId="4E169C35" w14:textId="77777777" w:rsidR="00106580" w:rsidRDefault="00106580" w:rsidP="00106580">
      <w:pPr>
        <w:pStyle w:val="ListParagraph"/>
        <w:numPr>
          <w:ilvl w:val="0"/>
          <w:numId w:val="1"/>
        </w:numPr>
        <w:autoSpaceDE w:val="0"/>
        <w:autoSpaceDN w:val="0"/>
        <w:spacing w:after="27"/>
        <w:rPr>
          <w:color w:val="000000"/>
          <w:lang w:val="en-US"/>
        </w:rPr>
      </w:pPr>
      <w:r>
        <w:rPr>
          <w:color w:val="000000"/>
          <w:lang w:val="en-US"/>
        </w:rPr>
        <w:t>Salutation:</w:t>
      </w:r>
    </w:p>
    <w:p w14:paraId="54738BFF" w14:textId="77777777" w:rsidR="00106580" w:rsidRPr="0066005A" w:rsidRDefault="00106580" w:rsidP="00106580">
      <w:pPr>
        <w:pStyle w:val="ListParagraph"/>
        <w:numPr>
          <w:ilvl w:val="0"/>
          <w:numId w:val="1"/>
        </w:numPr>
        <w:autoSpaceDE w:val="0"/>
        <w:autoSpaceDN w:val="0"/>
        <w:spacing w:after="27"/>
        <w:rPr>
          <w:color w:val="000000"/>
          <w:lang w:val="en-US"/>
        </w:rPr>
      </w:pPr>
      <w:r w:rsidRPr="0066005A">
        <w:rPr>
          <w:color w:val="000000"/>
          <w:lang w:val="en-US"/>
        </w:rPr>
        <w:t>Name</w:t>
      </w:r>
      <w:r>
        <w:rPr>
          <w:color w:val="000000"/>
          <w:lang w:val="en-US"/>
        </w:rPr>
        <w:t xml:space="preserve"> (First name / Family name)</w:t>
      </w:r>
      <w:r w:rsidRPr="0066005A">
        <w:rPr>
          <w:color w:val="000000"/>
          <w:lang w:val="en-US"/>
        </w:rPr>
        <w:t xml:space="preserve">: </w:t>
      </w:r>
    </w:p>
    <w:p w14:paraId="6FCEA14E" w14:textId="77777777" w:rsidR="00106580" w:rsidRDefault="00106580" w:rsidP="00106580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  <w:lang w:val="en-US"/>
        </w:rPr>
      </w:pPr>
      <w:r w:rsidRPr="0066005A">
        <w:rPr>
          <w:color w:val="000000"/>
          <w:lang w:val="en-US"/>
        </w:rPr>
        <w:t>Email:</w:t>
      </w:r>
    </w:p>
    <w:p w14:paraId="650F2E36" w14:textId="77777777" w:rsidR="00106580" w:rsidRDefault="00106580" w:rsidP="00106580">
      <w:pPr>
        <w:autoSpaceDE w:val="0"/>
        <w:autoSpaceDN w:val="0"/>
        <w:rPr>
          <w:color w:val="000000"/>
          <w:lang w:val="en-US"/>
        </w:rPr>
      </w:pPr>
    </w:p>
    <w:p w14:paraId="126CB7A5" w14:textId="77777777" w:rsidR="00106580" w:rsidRPr="009D0779" w:rsidRDefault="00106580" w:rsidP="00106580">
      <w:pPr>
        <w:pStyle w:val="Default"/>
        <w:spacing w:after="30"/>
        <w:rPr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9D0779">
        <w:rPr>
          <w:rFonts w:ascii="Calibri" w:hAnsi="Calibri"/>
          <w:b/>
          <w:bCs/>
          <w:i/>
          <w:iCs/>
          <w:sz w:val="22"/>
          <w:szCs w:val="22"/>
          <w:lang w:val="en-US"/>
        </w:rPr>
        <w:t>Authors</w:t>
      </w:r>
    </w:p>
    <w:p w14:paraId="6FCDE93D" w14:textId="77777777" w:rsidR="00106580" w:rsidRDefault="00106580" w:rsidP="00106580">
      <w:pPr>
        <w:pStyle w:val="Default"/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Presenting Author: </w:t>
      </w:r>
    </w:p>
    <w:p w14:paraId="4979C11F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Salutation: </w:t>
      </w:r>
    </w:p>
    <w:p w14:paraId="5EF294C2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Name </w:t>
      </w:r>
      <w:r w:rsidRPr="00B90D68">
        <w:rPr>
          <w:rFonts w:ascii="Calibri" w:hAnsi="Calibri"/>
          <w:sz w:val="22"/>
          <w:szCs w:val="22"/>
          <w:lang w:val="en-US"/>
        </w:rPr>
        <w:t>(First name / Family name):</w:t>
      </w:r>
    </w:p>
    <w:p w14:paraId="1B41AFCB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Email:</w:t>
      </w:r>
    </w:p>
    <w:p w14:paraId="4201C601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Employer/affiliations:</w:t>
      </w:r>
    </w:p>
    <w:p w14:paraId="5915E43C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Financial Disclosures:</w:t>
      </w:r>
    </w:p>
    <w:p w14:paraId="37E1C3C3" w14:textId="77777777" w:rsidR="00106580" w:rsidRDefault="00106580" w:rsidP="00106580">
      <w:pPr>
        <w:pStyle w:val="Default"/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Co-Authors (duplicate per co-author):</w:t>
      </w:r>
    </w:p>
    <w:p w14:paraId="6B1FF43E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Salutation:</w:t>
      </w:r>
    </w:p>
    <w:p w14:paraId="43E9D7A6" w14:textId="36E85764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Name </w:t>
      </w:r>
      <w:r w:rsidRPr="00B90D68">
        <w:rPr>
          <w:rFonts w:ascii="Calibri" w:hAnsi="Calibri"/>
          <w:sz w:val="22"/>
          <w:szCs w:val="22"/>
          <w:lang w:val="en-US"/>
        </w:rPr>
        <w:t>(First name / Family name)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14:paraId="7D02CF25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Email:</w:t>
      </w:r>
    </w:p>
    <w:p w14:paraId="6FD1C875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Employer/affiliations:</w:t>
      </w:r>
    </w:p>
    <w:p w14:paraId="5E0420D2" w14:textId="77777777" w:rsidR="00106580" w:rsidRDefault="00106580" w:rsidP="00106580">
      <w:pPr>
        <w:pStyle w:val="Default"/>
        <w:spacing w:after="30"/>
        <w:ind w:firstLine="36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Financial Disclosures:</w:t>
      </w:r>
    </w:p>
    <w:p w14:paraId="5F6BFCEB" w14:textId="77777777" w:rsidR="00106580" w:rsidRPr="009D0779" w:rsidRDefault="00106580" w:rsidP="00106580">
      <w:pPr>
        <w:autoSpaceDE w:val="0"/>
        <w:autoSpaceDN w:val="0"/>
        <w:rPr>
          <w:color w:val="000000"/>
          <w:lang w:val="en-US"/>
        </w:rPr>
      </w:pPr>
    </w:p>
    <w:p w14:paraId="4CD29B09" w14:textId="77777777" w:rsidR="00106580" w:rsidRDefault="00106580" w:rsidP="00106580">
      <w:pPr>
        <w:pStyle w:val="Defaul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iCs/>
          <w:sz w:val="22"/>
          <w:szCs w:val="22"/>
          <w:lang w:val="en-US"/>
        </w:rPr>
        <w:t>Project:</w:t>
      </w:r>
    </w:p>
    <w:p w14:paraId="4692960A" w14:textId="77777777" w:rsidR="00106580" w:rsidRDefault="00106580" w:rsidP="00106580">
      <w:pPr>
        <w:pStyle w:val="Default"/>
        <w:numPr>
          <w:ilvl w:val="0"/>
          <w:numId w:val="2"/>
        </w:numPr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Project Title: </w:t>
      </w:r>
    </w:p>
    <w:p w14:paraId="0092DB72" w14:textId="77777777" w:rsidR="00106580" w:rsidRDefault="00106580" w:rsidP="00106580">
      <w:pPr>
        <w:pStyle w:val="Default"/>
        <w:numPr>
          <w:ilvl w:val="0"/>
          <w:numId w:val="2"/>
        </w:numPr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Outline/Background (100-word limit): </w:t>
      </w:r>
    </w:p>
    <w:p w14:paraId="1CF967C7" w14:textId="77777777" w:rsidR="00106580" w:rsidRDefault="00106580" w:rsidP="00106580">
      <w:pPr>
        <w:pStyle w:val="Default"/>
        <w:numPr>
          <w:ilvl w:val="0"/>
          <w:numId w:val="2"/>
        </w:numPr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Method (100-word limit): </w:t>
      </w:r>
    </w:p>
    <w:p w14:paraId="270EFC16" w14:textId="77777777" w:rsidR="00106580" w:rsidRDefault="00106580" w:rsidP="00106580">
      <w:pPr>
        <w:pStyle w:val="Default"/>
        <w:numPr>
          <w:ilvl w:val="0"/>
          <w:numId w:val="2"/>
        </w:numPr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Results (100-word limit): </w:t>
      </w:r>
    </w:p>
    <w:p w14:paraId="04E99F37" w14:textId="77777777" w:rsidR="00106580" w:rsidRDefault="00106580" w:rsidP="00106580">
      <w:pPr>
        <w:pStyle w:val="Default"/>
        <w:numPr>
          <w:ilvl w:val="0"/>
          <w:numId w:val="2"/>
        </w:numPr>
        <w:spacing w:after="3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Discussion (100-word limit):</w:t>
      </w:r>
    </w:p>
    <w:p w14:paraId="118DBA31" w14:textId="77777777" w:rsidR="00106580" w:rsidRDefault="00106580" w:rsidP="00106580"/>
    <w:p w14:paraId="052CA449" w14:textId="77777777" w:rsidR="00106580" w:rsidRDefault="00106580" w:rsidP="00106580">
      <w:pPr>
        <w:autoSpaceDE w:val="0"/>
        <w:autoSpaceDN w:val="0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Submit</w:t>
      </w:r>
    </w:p>
    <w:p w14:paraId="1CBBCA3A" w14:textId="5FC22A94" w:rsidR="00566E18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  <w:r w:rsidRPr="0066005A">
        <w:rPr>
          <w:color w:val="000000"/>
          <w:lang w:val="en-US"/>
        </w:rPr>
        <w:t>Please complete and return the below</w:t>
      </w:r>
      <w:r>
        <w:rPr>
          <w:color w:val="000000"/>
          <w:lang w:val="en-US"/>
        </w:rPr>
        <w:t xml:space="preserve"> form</w:t>
      </w:r>
      <w:r w:rsidRPr="0066005A">
        <w:rPr>
          <w:color w:val="000000"/>
          <w:lang w:val="en-US"/>
        </w:rPr>
        <w:t xml:space="preserve"> to</w:t>
      </w:r>
      <w:r>
        <w:rPr>
          <w:color w:val="000000"/>
          <w:lang w:val="en-US"/>
        </w:rPr>
        <w:t xml:space="preserve">: </w:t>
      </w:r>
      <w:hyperlink r:id="rId11" w:history="1">
        <w:r w:rsidRPr="003649C1">
          <w:rPr>
            <w:rStyle w:val="Hyperlink"/>
            <w:lang w:val="en-US"/>
          </w:rPr>
          <w:t>abstractsWEBS@gaeba.org</w:t>
        </w:r>
      </w:hyperlink>
      <w:r>
        <w:rPr>
          <w:color w:val="000000"/>
          <w:lang w:val="en-US"/>
        </w:rPr>
        <w:t xml:space="preserve"> </w:t>
      </w:r>
      <w:r w:rsidRPr="0066005A">
        <w:rPr>
          <w:color w:val="000000"/>
          <w:lang w:val="en-US"/>
        </w:rPr>
        <w:t>by April 30</w:t>
      </w:r>
      <w:r w:rsidRPr="0066005A">
        <w:rPr>
          <w:color w:val="000000"/>
          <w:vertAlign w:val="superscript"/>
          <w:lang w:val="en-US"/>
        </w:rPr>
        <w:t>th</w:t>
      </w:r>
      <w:r w:rsidRPr="0066005A">
        <w:rPr>
          <w:color w:val="000000"/>
          <w:lang w:val="en-US"/>
        </w:rPr>
        <w:t xml:space="preserve"> 2022. </w:t>
      </w:r>
    </w:p>
    <w:p w14:paraId="0B7A7632" w14:textId="74150825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65E6652E" w14:textId="52C48BB9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9311544" w14:textId="4B09C278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0765D98" w14:textId="67F16E8D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42B0B5D" w14:textId="725FB717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5CFFD20F" w14:textId="00ACE044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03244FB9" w14:textId="23131678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2E51C9A7" w14:textId="77777777" w:rsidR="00106580" w:rsidRDefault="00106580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3EE7D747" w14:textId="5F3A9CFA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p w14:paraId="0365DE3D" w14:textId="77777777" w:rsidR="00566E18" w:rsidRDefault="00566E18" w:rsidP="005A44C7">
      <w:pPr>
        <w:autoSpaceDE w:val="0"/>
        <w:autoSpaceDN w:val="0"/>
        <w:rPr>
          <w:b/>
          <w:bCs/>
          <w:color w:val="000000"/>
          <w:lang w:val="en-US"/>
        </w:rPr>
      </w:pPr>
    </w:p>
    <w:sectPr w:rsidR="00566E1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CD7F" w14:textId="77777777" w:rsidR="00106580" w:rsidRDefault="00106580" w:rsidP="00106580">
      <w:r>
        <w:separator/>
      </w:r>
    </w:p>
  </w:endnote>
  <w:endnote w:type="continuationSeparator" w:id="0">
    <w:p w14:paraId="3492A845" w14:textId="77777777" w:rsidR="00106580" w:rsidRDefault="00106580" w:rsidP="001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4E0E" w14:textId="77777777" w:rsidR="00106580" w:rsidRDefault="00106580" w:rsidP="00106580">
      <w:r>
        <w:separator/>
      </w:r>
    </w:p>
  </w:footnote>
  <w:footnote w:type="continuationSeparator" w:id="0">
    <w:p w14:paraId="543B719C" w14:textId="77777777" w:rsidR="00106580" w:rsidRDefault="00106580" w:rsidP="0010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900F" w14:textId="34591925" w:rsidR="00106580" w:rsidRDefault="00106580" w:rsidP="00106580">
    <w:pPr>
      <w:pStyle w:val="Header"/>
      <w:jc w:val="center"/>
    </w:pPr>
    <w:r w:rsidRPr="00106580">
      <w:rPr>
        <w:noProof/>
      </w:rPr>
      <w:drawing>
        <wp:inline distT="0" distB="0" distL="0" distR="0" wp14:anchorId="2BF7112F" wp14:editId="12CAD05A">
          <wp:extent cx="896927" cy="9429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10" cy="94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888"/>
    <w:multiLevelType w:val="hybridMultilevel"/>
    <w:tmpl w:val="44303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E7F"/>
    <w:multiLevelType w:val="hybridMultilevel"/>
    <w:tmpl w:val="207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4DD6"/>
    <w:multiLevelType w:val="hybridMultilevel"/>
    <w:tmpl w:val="8910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C7"/>
    <w:rsid w:val="0008626B"/>
    <w:rsid w:val="00106580"/>
    <w:rsid w:val="00161D89"/>
    <w:rsid w:val="001C7C06"/>
    <w:rsid w:val="001D5ABA"/>
    <w:rsid w:val="00253A1B"/>
    <w:rsid w:val="002A79D9"/>
    <w:rsid w:val="00451A27"/>
    <w:rsid w:val="0047526E"/>
    <w:rsid w:val="004814E5"/>
    <w:rsid w:val="005103BB"/>
    <w:rsid w:val="00566E18"/>
    <w:rsid w:val="005A44C7"/>
    <w:rsid w:val="0067683E"/>
    <w:rsid w:val="006F071C"/>
    <w:rsid w:val="00743326"/>
    <w:rsid w:val="00756FF4"/>
    <w:rsid w:val="007F4F9F"/>
    <w:rsid w:val="0083551D"/>
    <w:rsid w:val="009109B0"/>
    <w:rsid w:val="0099086A"/>
    <w:rsid w:val="009D0779"/>
    <w:rsid w:val="00B90D68"/>
    <w:rsid w:val="00BA6775"/>
    <w:rsid w:val="00BF41AF"/>
    <w:rsid w:val="00C66089"/>
    <w:rsid w:val="00C66228"/>
    <w:rsid w:val="00E44E44"/>
    <w:rsid w:val="00F13404"/>
    <w:rsid w:val="00F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F4D9"/>
  <w15:chartTrackingRefBased/>
  <w15:docId w15:val="{ACC5072D-1D6F-4A43-BA35-D43DC7B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C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4C7"/>
    <w:rPr>
      <w:color w:val="0563C1"/>
      <w:u w:val="single"/>
    </w:rPr>
  </w:style>
  <w:style w:type="paragraph" w:customStyle="1" w:styleId="Default">
    <w:name w:val="Default"/>
    <w:basedOn w:val="Normal"/>
    <w:rsid w:val="005A44C7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4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7C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3326"/>
    <w:pPr>
      <w:spacing w:after="0" w:line="240" w:lineRule="auto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26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26"/>
    <w:rPr>
      <w:rFonts w:ascii="Calibri" w:hAnsi="Calibri" w:cs="Calibri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0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80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0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80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2022.org/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stractsWEBS@gaeb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stractsWEBS@gae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tractsWEBS@gaeb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Machin</dc:creator>
  <cp:keywords/>
  <dc:description/>
  <cp:lastModifiedBy>Heather Machin</cp:lastModifiedBy>
  <cp:revision>4</cp:revision>
  <dcterms:created xsi:type="dcterms:W3CDTF">2022-02-20T23:02:00Z</dcterms:created>
  <dcterms:modified xsi:type="dcterms:W3CDTF">2022-03-01T04:04:00Z</dcterms:modified>
</cp:coreProperties>
</file>